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943700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943700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(додаткові роботи) гімназії № 179 за адресою: проспект Голосіївський, 120-В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943700" w:rsidRPr="00943700">
        <w:rPr>
          <w:b/>
          <w:bCs/>
          <w:color w:val="333333"/>
          <w:kern w:val="36"/>
          <w:sz w:val="20"/>
          <w:szCs w:val="20"/>
          <w:lang w:val="uk-UA"/>
        </w:rPr>
        <w:t>UA-2022-09-27-011239-a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94370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943700">
        <w:rPr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(додаткові роботи) гімназії № 179 за адресою: проспект Голосіївський, 120-В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Pr="00C624EC" w:rsidRDefault="0094370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943700">
        <w:rPr>
          <w:bCs/>
          <w:color w:val="333333"/>
          <w:kern w:val="36"/>
          <w:sz w:val="20"/>
          <w:szCs w:val="20"/>
          <w:lang w:val="uk-UA"/>
        </w:rPr>
        <w:t>пункт 5 частини 2 статті 40 Закону «Про публічні закупівлі» від 19.09.2019 № 114 - IХ: - «Виникла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закупівлю». 12. Обґрунтування застосування переговорної процедури закупівлі: 22.07.2022 р. УПРАВЛІННЯМ БУДІВНИЦТВА була оголошена закупівля за процедурою спрощена закупівля «Капітальний ремонт найпростіших укриттів та захисних споруд цивільного захисту гімназії № 179 за адресою: проспект Голосіївський, 120-В у Голосіївському районі міста Києва» код ДК 021:2015 - 45453000-7 (Капітальний ремонт і реставрація). Очікувана вартість зазначеної закупівлі склала 1 431 305,00 грн., у т. ч. ПДВ. За результатами розгляду поданих до участі у торгах пропозицій, переможцем було визначено учасника торгів ТОВ "І. Б. К. Девелопмент" з яким було укладено договір підряду № 62 від 10.08.2022 року з ціною – 1 340 444,94грн. у т.ч. ПДВ та який на сьогодні продовжує виконувати роботи згідно договору. https://gov.e-tender.ua/tender/budivelni-roboti/UA-2022-07-26-003032-a-kapitalnyj-remont-najprostishyx-ukryttiv-ta-zaxysnyx-sporud-cyvilnoho-zaxystu. ТОВ "І. Б. К. Девелопмент", на підставі Договору № 62 від 10.08.2022 р. було виконано комплекс робіт по вищевказаному об'єкту. У зв’язку з наведеним вище виникла необхідність виконання додаткових робіт на зазначеному об’єкті, так як вказані додаткові роботи є невід’ємною частиною і здійснення таких додаткових робіт є необхідним для виконання проекту в цілому. Наявність умов застосування переговорної процедури закупівлі підтверджується наступними документами: головний (основний) договір № 62 від 10.08.2022 року, підтверджує, що додаткові роботи закуповуються у того ж самого учасника - ТОВ "І. Б. К. Девелопмент", що такі роботи є аналогічними роботам за головним (основним) договором; головний (основний) договір № 62 від 10.08.2022 року з ціною – 1 340 444,94 грн. у т.ч. ПДВ, та розрахунок очікуваної вартості додаткових будівельних робіт на суму 216757.30грн. (Двісті шістнадцять тисяч сімсот п'ятдесят сім гривень 30 копійок) у т.ч. ПДВ підтверджують, що загальна вартість додаткових будівельних робіт не перевищує 50% вартості головного (первинного) договору, а також те, що закупівля додаткових аналогічних робіт здійснюється протягом трьох років після укладення основного договору про закупівлю.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</w:t>
      </w:r>
      <w:r w:rsidR="0047036A">
        <w:rPr>
          <w:bCs/>
          <w:color w:val="333333"/>
          <w:kern w:val="36"/>
          <w:sz w:val="20"/>
          <w:szCs w:val="20"/>
          <w:lang w:val="uk-UA"/>
        </w:rPr>
        <w:t xml:space="preserve"> (зі змінами)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47036A" w:rsidRPr="0047036A">
        <w:rPr>
          <w:bCs/>
          <w:color w:val="333333"/>
          <w:kern w:val="36"/>
          <w:sz w:val="20"/>
          <w:szCs w:val="20"/>
          <w:lang w:val="uk-UA"/>
        </w:rPr>
        <w:tab/>
      </w:r>
      <w:r w:rsidR="00943700" w:rsidRPr="00943700">
        <w:rPr>
          <w:bCs/>
          <w:color w:val="333333"/>
          <w:kern w:val="36"/>
          <w:sz w:val="20"/>
          <w:szCs w:val="20"/>
          <w:lang w:val="uk-UA"/>
        </w:rPr>
        <w:t>216 757,30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943700" w:rsidRPr="00943700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https://prozorro.gov.ua/tender/UA-2022-09-27-011239-a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311B6"/>
    <w:rsid w:val="0017129E"/>
    <w:rsid w:val="001F667C"/>
    <w:rsid w:val="00203B6B"/>
    <w:rsid w:val="00222BF4"/>
    <w:rsid w:val="002314A9"/>
    <w:rsid w:val="002416FF"/>
    <w:rsid w:val="00297501"/>
    <w:rsid w:val="002A6C34"/>
    <w:rsid w:val="003179E0"/>
    <w:rsid w:val="003267E0"/>
    <w:rsid w:val="0037689B"/>
    <w:rsid w:val="003E35AD"/>
    <w:rsid w:val="0047036A"/>
    <w:rsid w:val="0052729A"/>
    <w:rsid w:val="005711FD"/>
    <w:rsid w:val="006021CF"/>
    <w:rsid w:val="00604B72"/>
    <w:rsid w:val="0067581D"/>
    <w:rsid w:val="00685BDC"/>
    <w:rsid w:val="006E4C2B"/>
    <w:rsid w:val="00761DD2"/>
    <w:rsid w:val="00776774"/>
    <w:rsid w:val="00786C79"/>
    <w:rsid w:val="0086315E"/>
    <w:rsid w:val="0087022E"/>
    <w:rsid w:val="00880DDD"/>
    <w:rsid w:val="008B5C7F"/>
    <w:rsid w:val="008D09A4"/>
    <w:rsid w:val="008D56D4"/>
    <w:rsid w:val="009051D3"/>
    <w:rsid w:val="00943700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  <w:rsid w:val="00F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2022-09-09T09:10:00Z</cp:lastPrinted>
  <dcterms:created xsi:type="dcterms:W3CDTF">2022-09-09T09:44:00Z</dcterms:created>
  <dcterms:modified xsi:type="dcterms:W3CDTF">2022-09-30T09:04:00Z</dcterms:modified>
</cp:coreProperties>
</file>