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04" w:rsidRPr="00C06699" w:rsidRDefault="00C06699">
      <w:pPr>
        <w:pStyle w:val="Heading1"/>
        <w:spacing w:before="72"/>
        <w:rPr>
          <w:lang w:val="uk-UA"/>
        </w:rPr>
      </w:pPr>
      <w:r w:rsidRPr="00C06699">
        <w:rPr>
          <w:lang w:val="uk-UA"/>
        </w:rPr>
        <w:t>Голосіїв</w:t>
      </w:r>
      <w:r w:rsidRPr="00C06699">
        <w:rPr>
          <w:lang w:val="uk-UA"/>
        </w:rPr>
        <w:t>ське РУ ГУ ДСНС України у</w:t>
      </w:r>
    </w:p>
    <w:p w:rsidR="00A44B04" w:rsidRPr="00C06699" w:rsidRDefault="00C06699">
      <w:pPr>
        <w:spacing w:before="1"/>
        <w:ind w:left="102" w:right="736"/>
        <w:rPr>
          <w:i/>
          <w:sz w:val="45"/>
          <w:lang w:val="uk-UA"/>
        </w:rPr>
      </w:pPr>
      <w:r w:rsidRPr="00C06699">
        <w:rPr>
          <w:noProof/>
          <w:lang w:val="uk-UA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1085533</wp:posOffset>
            </wp:positionH>
            <wp:positionV relativeFrom="paragraph">
              <wp:posOffset>989562</wp:posOffset>
            </wp:positionV>
            <wp:extent cx="1619885" cy="1210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699">
        <w:rPr>
          <w:i/>
          <w:sz w:val="45"/>
          <w:lang w:val="uk-UA"/>
        </w:rPr>
        <w:t>м. Києві нагадує громадянам правила дій при виявленні підозрілих та вибухових пристроїв</w:t>
      </w:r>
    </w:p>
    <w:p w:rsidR="00A44B04" w:rsidRPr="00C06699" w:rsidRDefault="00A44B04">
      <w:pPr>
        <w:pStyle w:val="a3"/>
        <w:rPr>
          <w:i/>
          <w:sz w:val="50"/>
          <w:lang w:val="uk-UA"/>
        </w:rPr>
      </w:pPr>
    </w:p>
    <w:p w:rsidR="00A44B04" w:rsidRPr="00C06699" w:rsidRDefault="00A44B04">
      <w:pPr>
        <w:pStyle w:val="a3"/>
        <w:rPr>
          <w:i/>
          <w:sz w:val="50"/>
          <w:lang w:val="uk-UA"/>
        </w:rPr>
      </w:pPr>
    </w:p>
    <w:p w:rsidR="00A44B04" w:rsidRPr="00C06699" w:rsidRDefault="00A44B04">
      <w:pPr>
        <w:pStyle w:val="a3"/>
        <w:spacing w:before="4"/>
        <w:rPr>
          <w:i/>
          <w:sz w:val="48"/>
          <w:lang w:val="uk-UA"/>
        </w:rPr>
      </w:pPr>
    </w:p>
    <w:p w:rsidR="00A44B04" w:rsidRPr="00C06699" w:rsidRDefault="00C06699">
      <w:pPr>
        <w:pStyle w:val="Heading2"/>
        <w:ind w:left="2652"/>
        <w:rPr>
          <w:lang w:val="uk-UA"/>
        </w:rPr>
      </w:pPr>
      <w:r w:rsidRPr="00C06699">
        <w:rPr>
          <w:color w:val="2E2E2E"/>
          <w:lang w:val="uk-UA"/>
        </w:rPr>
        <w:t>Шановні громадяни!</w:t>
      </w:r>
    </w:p>
    <w:p w:rsidR="00A44B04" w:rsidRPr="00C06699" w:rsidRDefault="00C06699">
      <w:pPr>
        <w:pStyle w:val="a3"/>
        <w:spacing w:before="52" w:line="292" w:lineRule="auto"/>
        <w:ind w:left="101" w:right="94"/>
        <w:rPr>
          <w:lang w:val="uk-UA"/>
        </w:rPr>
      </w:pPr>
      <w:r w:rsidRPr="00C06699">
        <w:rPr>
          <w:color w:val="2E2E2E"/>
          <w:lang w:val="uk-UA"/>
        </w:rPr>
        <w:t>Державна служба України з надзвичайних ситуацій вкотре звертається до вас з проханням, бути пильними та завжди пам’ятати основні правила дій при виявленні пі</w:t>
      </w:r>
      <w:r>
        <w:rPr>
          <w:color w:val="2E2E2E"/>
          <w:lang w:val="uk-UA"/>
        </w:rPr>
        <w:t>дозрілих та вибухових пристроїв</w:t>
      </w:r>
      <w:r w:rsidRPr="00C06699">
        <w:rPr>
          <w:color w:val="2E2E2E"/>
          <w:lang w:val="uk-UA"/>
        </w:rPr>
        <w:t>.</w:t>
      </w:r>
      <w:r>
        <w:rPr>
          <w:color w:val="2E2E2E"/>
          <w:lang w:val="uk-UA"/>
        </w:rPr>
        <w:t xml:space="preserve"> </w:t>
      </w:r>
      <w:r w:rsidRPr="00C06699">
        <w:rPr>
          <w:color w:val="2E2E2E"/>
          <w:lang w:val="uk-UA"/>
        </w:rPr>
        <w:t>Для того, щоб вирізнити вибухові пристрої з-поміж усіх інших, варт</w:t>
      </w:r>
      <w:r w:rsidRPr="00C06699">
        <w:rPr>
          <w:color w:val="2E2E2E"/>
          <w:lang w:val="uk-UA"/>
        </w:rPr>
        <w:t>о запам’ятати їхні характерні ознаки:</w:t>
      </w: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rPr>
          <w:sz w:val="20"/>
          <w:lang w:val="uk-UA"/>
        </w:rPr>
      </w:pPr>
    </w:p>
    <w:p w:rsidR="00A44B04" w:rsidRPr="00C06699" w:rsidRDefault="00A44B04">
      <w:pPr>
        <w:pStyle w:val="a3"/>
        <w:spacing w:before="7"/>
        <w:rPr>
          <w:sz w:val="18"/>
          <w:lang w:val="uk-UA"/>
        </w:rPr>
      </w:pPr>
    </w:p>
    <w:p w:rsidR="00A44B04" w:rsidRPr="00C06699" w:rsidRDefault="00C06699">
      <w:pPr>
        <w:pStyle w:val="a3"/>
        <w:spacing w:before="95"/>
        <w:ind w:left="3701"/>
        <w:rPr>
          <w:lang w:val="uk-UA"/>
        </w:rPr>
      </w:pPr>
      <w:r w:rsidRPr="00C06699">
        <w:rPr>
          <w:noProof/>
          <w:lang w:val="uk-UA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1085532</wp:posOffset>
            </wp:positionH>
            <wp:positionV relativeFrom="paragraph">
              <wp:posOffset>-1439114</wp:posOffset>
            </wp:positionV>
            <wp:extent cx="2286000" cy="16294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699">
        <w:rPr>
          <w:color w:val="2E2E2E"/>
          <w:lang w:val="uk-UA"/>
        </w:rPr>
        <w:t>- предмети є незнайомими або незвичними для цієї</w:t>
      </w:r>
    </w:p>
    <w:p w:rsidR="00A44B04" w:rsidRPr="00C06699" w:rsidRDefault="00C06699">
      <w:pPr>
        <w:pStyle w:val="a3"/>
        <w:spacing w:before="51"/>
        <w:ind w:left="101"/>
        <w:rPr>
          <w:lang w:val="uk-UA"/>
        </w:rPr>
      </w:pPr>
      <w:r w:rsidRPr="00C06699">
        <w:rPr>
          <w:color w:val="2E2E2E"/>
          <w:lang w:val="uk-UA"/>
        </w:rPr>
        <w:t>обстановки чи території;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4" w:line="290" w:lineRule="auto"/>
        <w:ind w:right="936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наявність звуків, що лунають від предмету (цокання годинника, сигнали через певний проміжок часу), миготіння індикаторної</w:t>
      </w:r>
      <w:r w:rsidRPr="00C06699">
        <w:rPr>
          <w:color w:val="2E2E2E"/>
          <w:spacing w:val="-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лампочки;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3"/>
        <w:ind w:left="229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наявність джерел живлення на механізмі або поряд з ним (батарейки, акумулятори</w:t>
      </w:r>
      <w:r w:rsidRPr="00C06699">
        <w:rPr>
          <w:color w:val="2E2E2E"/>
          <w:spacing w:val="-2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тощо);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2"/>
        <w:ind w:left="229" w:hanging="127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наявність розтяжки дротів, або дротів, що тягнуться від механізму на велику</w:t>
      </w:r>
      <w:r w:rsidRPr="00C06699">
        <w:rPr>
          <w:color w:val="2E2E2E"/>
          <w:spacing w:val="-23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відстань;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3"/>
        <w:ind w:left="229" w:hanging="127"/>
        <w:rPr>
          <w:sz w:val="21"/>
          <w:lang w:val="uk-UA"/>
        </w:rPr>
      </w:pPr>
      <w:r w:rsidRPr="00C06699">
        <w:rPr>
          <w:noProof/>
          <w:lang w:val="uk-UA" w:bidi="ar-SA"/>
        </w:rPr>
        <w:drawing>
          <wp:anchor distT="0" distB="0" distL="0" distR="0" simplePos="0" relativeHeight="268431959" behindDoc="1" locked="0" layoutInCell="1" allowOverlap="1">
            <wp:simplePos x="0" y="0"/>
            <wp:positionH relativeFrom="page">
              <wp:posOffset>1085532</wp:posOffset>
            </wp:positionH>
            <wp:positionV relativeFrom="paragraph">
              <wp:posOffset>378291</wp:posOffset>
            </wp:positionV>
            <wp:extent cx="2286000" cy="161988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699">
        <w:rPr>
          <w:color w:val="2E2E2E"/>
          <w:sz w:val="21"/>
          <w:lang w:val="uk-UA"/>
        </w:rPr>
        <w:t>предмет може бути підвішений на дереві або залишений на</w:t>
      </w:r>
      <w:r w:rsidRPr="00C06699">
        <w:rPr>
          <w:color w:val="2E2E2E"/>
          <w:spacing w:val="-1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лавці.</w:t>
      </w: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C06699">
      <w:pPr>
        <w:pStyle w:val="a3"/>
        <w:spacing w:before="165" w:line="290" w:lineRule="auto"/>
        <w:ind w:left="101" w:right="519" w:firstLine="3600"/>
        <w:rPr>
          <w:lang w:val="uk-UA"/>
        </w:rPr>
      </w:pPr>
      <w:r w:rsidRPr="00C06699">
        <w:rPr>
          <w:color w:val="2E2E2E"/>
          <w:lang w:val="uk-UA"/>
        </w:rPr>
        <w:t xml:space="preserve">Найчастіше </w:t>
      </w:r>
      <w:r w:rsidRPr="00C06699">
        <w:rPr>
          <w:color w:val="2E2E2E"/>
          <w:lang w:val="uk-UA"/>
        </w:rPr>
        <w:t>вибухові пристрої можна виявити у місцях масового перебування людей. Тому, якщо ви побачили підозрілий предмет на вулиці: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29"/>
        </w:tabs>
        <w:spacing w:before="1" w:line="292" w:lineRule="auto"/>
        <w:ind w:right="650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негайно зателефонуйте до Служби порятунку за номером 101 або у відділення міліції за номером 102;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line="240" w:lineRule="exact"/>
        <w:ind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попередьте перехожих про можливу</w:t>
      </w:r>
      <w:r w:rsidRPr="00C06699">
        <w:rPr>
          <w:color w:val="2E2E2E"/>
          <w:spacing w:val="-14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небезпеку;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4" w:line="290" w:lineRule="auto"/>
        <w:ind w:left="102" w:right="346" w:hanging="1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очікуючи на прибуття рятувальників, огородіть чимось небезпечне місце та відійдіть від знахідки на безпечну відстань (100 м). Для огородження скористайся будь-якими</w:t>
      </w:r>
      <w:r w:rsidRPr="00C06699">
        <w:rPr>
          <w:color w:val="2E2E2E"/>
          <w:spacing w:val="-23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підручними</w:t>
      </w:r>
    </w:p>
    <w:p w:rsidR="00A44B04" w:rsidRPr="00C06699" w:rsidRDefault="00A44B04">
      <w:pPr>
        <w:spacing w:line="290" w:lineRule="auto"/>
        <w:rPr>
          <w:sz w:val="21"/>
          <w:lang w:val="uk-UA"/>
        </w:rPr>
        <w:sectPr w:rsidR="00A44B04" w:rsidRPr="00C0669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4B04" w:rsidRPr="00C06699" w:rsidRDefault="00C06699">
      <w:pPr>
        <w:pStyle w:val="a3"/>
        <w:spacing w:before="82"/>
        <w:ind w:left="101"/>
        <w:rPr>
          <w:lang w:val="uk-UA"/>
        </w:rPr>
      </w:pPr>
      <w:r w:rsidRPr="00C06699">
        <w:rPr>
          <w:color w:val="2E2E2E"/>
          <w:lang w:val="uk-UA"/>
        </w:rPr>
        <w:lastRenderedPageBreak/>
        <w:t>матеріалами: гілками, мотузками, шматками тканини, ка</w:t>
      </w:r>
      <w:r w:rsidRPr="00C06699">
        <w:rPr>
          <w:color w:val="2E2E2E"/>
          <w:lang w:val="uk-UA"/>
        </w:rPr>
        <w:t>мінням тощо.</w:t>
      </w:r>
    </w:p>
    <w:p w:rsidR="00A44B04" w:rsidRPr="00C06699" w:rsidRDefault="00C06699">
      <w:pPr>
        <w:pStyle w:val="a3"/>
        <w:spacing w:before="54" w:line="290" w:lineRule="auto"/>
        <w:ind w:left="101" w:right="896"/>
        <w:rPr>
          <w:lang w:val="uk-UA"/>
        </w:rPr>
      </w:pPr>
      <w:r w:rsidRPr="00C06699">
        <w:rPr>
          <w:color w:val="2E2E2E"/>
          <w:lang w:val="uk-UA"/>
        </w:rPr>
        <w:t>Якщо ви перебуваєте у громадському транспорті та інших місцях скупчення людей вам необхідно бути особливо уважними та дотримуватись таких правил: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29"/>
        </w:tabs>
        <w:spacing w:before="3" w:line="290" w:lineRule="auto"/>
        <w:ind w:right="326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Звертайте увагу на залишені сумки, портфелі, згортки чи інші предмети, у яких можуть бути заховані саморобні вибухові</w:t>
      </w:r>
      <w:r w:rsidRPr="00C06699">
        <w:rPr>
          <w:color w:val="2E2E2E"/>
          <w:spacing w:val="-1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пристрої.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4" w:line="290" w:lineRule="auto"/>
        <w:ind w:right="934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У разі виявлення підозрілого предмета негайно кнопкою виклику водія, переговорним пристроєм чи іншим способом повідомте про знах</w:t>
      </w:r>
      <w:r w:rsidRPr="00C06699">
        <w:rPr>
          <w:color w:val="2E2E2E"/>
          <w:sz w:val="21"/>
          <w:lang w:val="uk-UA"/>
        </w:rPr>
        <w:t>ідку водія чи</w:t>
      </w:r>
      <w:r w:rsidRPr="00C06699">
        <w:rPr>
          <w:color w:val="2E2E2E"/>
          <w:spacing w:val="-20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правоохоронців.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4" w:line="290" w:lineRule="auto"/>
        <w:ind w:left="102" w:right="695" w:hanging="1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Не відкривайте знайдені пакети чи сумки, не чіпайте їх та повідомте людей довкола про можливу</w:t>
      </w:r>
      <w:r w:rsidRPr="00C06699">
        <w:rPr>
          <w:color w:val="2E2E2E"/>
          <w:spacing w:val="-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небезпеку.</w:t>
      </w:r>
    </w:p>
    <w:p w:rsidR="00A44B04" w:rsidRPr="00C06699" w:rsidRDefault="00C06699">
      <w:pPr>
        <w:pStyle w:val="Heading2"/>
        <w:spacing w:before="3"/>
        <w:rPr>
          <w:lang w:val="uk-UA"/>
        </w:rPr>
      </w:pPr>
      <w:r w:rsidRPr="00C06699">
        <w:rPr>
          <w:color w:val="2E2E2E"/>
          <w:lang w:val="uk-UA"/>
        </w:rPr>
        <w:t>Категорично забороняється: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1"/>
        <w:ind w:left="229" w:hanging="127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торкатися предмету і пересувати</w:t>
      </w:r>
      <w:r w:rsidRPr="00C06699">
        <w:rPr>
          <w:color w:val="2E2E2E"/>
          <w:spacing w:val="-7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його;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4" w:line="290" w:lineRule="auto"/>
        <w:ind w:left="102" w:right="385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користуватися засобами радіозв’язку, мобільними телефонами (вони можуть спровокувати вибух);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4"/>
        <w:ind w:left="229" w:hanging="127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 xml:space="preserve">заливати його рідинами, засипати </w:t>
      </w:r>
      <w:proofErr w:type="spellStart"/>
      <w:r w:rsidRPr="00C06699">
        <w:rPr>
          <w:color w:val="2E2E2E"/>
          <w:sz w:val="21"/>
          <w:lang w:val="uk-UA"/>
        </w:rPr>
        <w:t>грунтом</w:t>
      </w:r>
      <w:proofErr w:type="spellEnd"/>
      <w:r w:rsidRPr="00C06699">
        <w:rPr>
          <w:color w:val="2E2E2E"/>
          <w:sz w:val="21"/>
          <w:lang w:val="uk-UA"/>
        </w:rPr>
        <w:t xml:space="preserve"> або чимось його</w:t>
      </w:r>
      <w:r w:rsidRPr="00C06699">
        <w:rPr>
          <w:color w:val="2E2E2E"/>
          <w:spacing w:val="-1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накривати;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1" w:line="292" w:lineRule="auto"/>
        <w:ind w:left="102" w:right="492" w:firstLine="0"/>
        <w:jc w:val="both"/>
        <w:rPr>
          <w:sz w:val="21"/>
          <w:lang w:val="uk-UA"/>
        </w:rPr>
      </w:pPr>
      <w:r w:rsidRPr="00C06699">
        <w:rPr>
          <w:noProof/>
          <w:lang w:val="uk-UA" w:bidi="ar-SA"/>
        </w:rPr>
        <w:drawing>
          <wp:anchor distT="0" distB="0" distL="0" distR="0" simplePos="0" relativeHeight="268431983" behindDoc="1" locked="0" layoutInCell="1" allowOverlap="1">
            <wp:simplePos x="0" y="0"/>
            <wp:positionH relativeFrom="page">
              <wp:posOffset>1085532</wp:posOffset>
            </wp:positionH>
            <wp:positionV relativeFrom="paragraph">
              <wp:posOffset>750577</wp:posOffset>
            </wp:positionV>
            <wp:extent cx="2286000" cy="161988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699">
        <w:rPr>
          <w:color w:val="2E2E2E"/>
          <w:sz w:val="21"/>
          <w:lang w:val="uk-UA"/>
        </w:rPr>
        <w:t>торкатися підозрілого пристрою та здійснювати на нього звуковий, світловий, тепловий чи механі</w:t>
      </w:r>
      <w:r w:rsidRPr="00C06699">
        <w:rPr>
          <w:color w:val="2E2E2E"/>
          <w:sz w:val="21"/>
          <w:lang w:val="uk-UA"/>
        </w:rPr>
        <w:t>чний вплив, адже практично всі вибухові речовини отруйні та чутливі до механічних, звукових впливів та</w:t>
      </w:r>
      <w:r w:rsidRPr="00C06699">
        <w:rPr>
          <w:color w:val="2E2E2E"/>
          <w:spacing w:val="-4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нагрівання.</w:t>
      </w: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rPr>
          <w:sz w:val="24"/>
          <w:lang w:val="uk-UA"/>
        </w:rPr>
      </w:pPr>
    </w:p>
    <w:p w:rsidR="00A44B04" w:rsidRPr="00C06699" w:rsidRDefault="00A44B04">
      <w:pPr>
        <w:pStyle w:val="a3"/>
        <w:spacing w:before="6"/>
        <w:rPr>
          <w:sz w:val="33"/>
          <w:lang w:val="uk-UA"/>
        </w:rPr>
      </w:pPr>
    </w:p>
    <w:p w:rsidR="00A44B04" w:rsidRPr="00C06699" w:rsidRDefault="00C06699">
      <w:pPr>
        <w:pStyle w:val="a3"/>
        <w:spacing w:before="1" w:line="292" w:lineRule="auto"/>
        <w:ind w:left="101" w:right="736" w:firstLine="3599"/>
        <w:rPr>
          <w:lang w:val="uk-UA"/>
        </w:rPr>
      </w:pPr>
      <w:r w:rsidRPr="00C06699">
        <w:rPr>
          <w:color w:val="2E2E2E"/>
          <w:lang w:val="uk-UA"/>
        </w:rPr>
        <w:t>Якщо лиха не вдалося оминути і стався вибух, дуже важливо не втратити контроль та не піддаватися паніці.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line="240" w:lineRule="exact"/>
        <w:ind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Спробуйте заспокоїтися та у</w:t>
      </w:r>
      <w:r w:rsidRPr="00C06699">
        <w:rPr>
          <w:color w:val="2E2E2E"/>
          <w:sz w:val="21"/>
          <w:lang w:val="uk-UA"/>
        </w:rPr>
        <w:t>точнити</w:t>
      </w:r>
      <w:r w:rsidRPr="00C06699">
        <w:rPr>
          <w:color w:val="2E2E2E"/>
          <w:spacing w:val="-5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ситуацію.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3"/>
        <w:ind w:left="229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Ні в якому разі не користуйтеся відкритим</w:t>
      </w:r>
      <w:r w:rsidRPr="00C06699">
        <w:rPr>
          <w:color w:val="2E2E2E"/>
          <w:spacing w:val="-12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вогнем.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before="52" w:line="292" w:lineRule="auto"/>
        <w:ind w:left="102" w:right="1179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Зі зруйнованого приміщення слід виходити обережно, не торкаючись пошкоджених конструкцій та</w:t>
      </w:r>
      <w:r w:rsidRPr="00C06699">
        <w:rPr>
          <w:color w:val="2E2E2E"/>
          <w:spacing w:val="-4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дротів.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line="292" w:lineRule="auto"/>
        <w:ind w:left="102" w:right="330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При задимленні обов’язково захистіть органи дихання змоченою хусткою, шматком тканини чи</w:t>
      </w:r>
      <w:r w:rsidRPr="00C06699">
        <w:rPr>
          <w:color w:val="2E2E2E"/>
          <w:spacing w:val="-2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рушником.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0"/>
        </w:tabs>
        <w:spacing w:line="292" w:lineRule="auto"/>
        <w:ind w:left="102" w:right="282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 xml:space="preserve">По можливості та наявності необхідних знань і навичок надайте першу </w:t>
      </w:r>
      <w:proofErr w:type="spellStart"/>
      <w:r w:rsidRPr="00C06699">
        <w:rPr>
          <w:color w:val="2E2E2E"/>
          <w:sz w:val="21"/>
          <w:lang w:val="uk-UA"/>
        </w:rPr>
        <w:t>домедичну</w:t>
      </w:r>
      <w:proofErr w:type="spellEnd"/>
      <w:r w:rsidRPr="00C06699">
        <w:rPr>
          <w:color w:val="2E2E2E"/>
          <w:sz w:val="21"/>
          <w:lang w:val="uk-UA"/>
        </w:rPr>
        <w:t xml:space="preserve"> допомогу постраждалим.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1"/>
        </w:tabs>
        <w:spacing w:line="292" w:lineRule="auto"/>
        <w:ind w:left="102" w:right="284" w:firstLine="0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Дочекайтеся прибуття представників аварійно-рятувальних служб та у подальшому дійте за їх</w:t>
      </w:r>
      <w:r w:rsidRPr="00C06699">
        <w:rPr>
          <w:color w:val="2E2E2E"/>
          <w:spacing w:val="-1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вказівками.</w:t>
      </w:r>
    </w:p>
    <w:p w:rsidR="00A44B04" w:rsidRPr="00C06699" w:rsidRDefault="00C06699">
      <w:pPr>
        <w:pStyle w:val="a4"/>
        <w:numPr>
          <w:ilvl w:val="0"/>
          <w:numId w:val="1"/>
        </w:numPr>
        <w:tabs>
          <w:tab w:val="left" w:pos="231"/>
        </w:tabs>
        <w:spacing w:line="292" w:lineRule="auto"/>
        <w:ind w:left="103" w:right="421" w:hanging="1"/>
        <w:rPr>
          <w:sz w:val="21"/>
          <w:lang w:val="uk-UA"/>
        </w:rPr>
      </w:pPr>
      <w:r w:rsidRPr="00C06699">
        <w:rPr>
          <w:color w:val="2E2E2E"/>
          <w:sz w:val="21"/>
          <w:lang w:val="uk-UA"/>
        </w:rPr>
        <w:t>Якщо вибух стався у громадському транспорті, вам необхідно, насамперед, виконувати всі команди водія чи команди, які оголошуються</w:t>
      </w:r>
      <w:r w:rsidRPr="00C06699">
        <w:rPr>
          <w:color w:val="2E2E2E"/>
          <w:spacing w:val="-8"/>
          <w:sz w:val="21"/>
          <w:lang w:val="uk-UA"/>
        </w:rPr>
        <w:t xml:space="preserve"> </w:t>
      </w:r>
      <w:r w:rsidRPr="00C06699">
        <w:rPr>
          <w:color w:val="2E2E2E"/>
          <w:sz w:val="21"/>
          <w:lang w:val="uk-UA"/>
        </w:rPr>
        <w:t>дистанційно.</w:t>
      </w:r>
    </w:p>
    <w:p w:rsidR="00A44B04" w:rsidRPr="00C06699" w:rsidRDefault="00C06699">
      <w:pPr>
        <w:pStyle w:val="a3"/>
        <w:spacing w:line="292" w:lineRule="auto"/>
        <w:ind w:left="102" w:right="141"/>
        <w:rPr>
          <w:lang w:val="uk-UA"/>
        </w:rPr>
      </w:pPr>
      <w:r w:rsidRPr="00C06699">
        <w:rPr>
          <w:b/>
          <w:color w:val="2E2E2E"/>
          <w:lang w:val="uk-UA"/>
        </w:rPr>
        <w:t xml:space="preserve">Пам’ятайте! </w:t>
      </w:r>
      <w:r w:rsidRPr="00C06699">
        <w:rPr>
          <w:color w:val="2E2E2E"/>
          <w:lang w:val="uk-UA"/>
        </w:rPr>
        <w:t>Одна з основних причин нещасних випадків, пов’язаних з вибуховими пристроями – грубе порушення елемен</w:t>
      </w:r>
      <w:r w:rsidRPr="00C06699">
        <w:rPr>
          <w:color w:val="2E2E2E"/>
          <w:lang w:val="uk-UA"/>
        </w:rPr>
        <w:t>тарних правил безпеки. Знешкодити вибуховий пристрій або локалізувати вибух можуть лише підготовлені спеціалісти після виведення людей із небезпечної</w:t>
      </w:r>
      <w:r w:rsidRPr="00C06699">
        <w:rPr>
          <w:color w:val="2E2E2E"/>
          <w:spacing w:val="-4"/>
          <w:lang w:val="uk-UA"/>
        </w:rPr>
        <w:t xml:space="preserve"> </w:t>
      </w:r>
      <w:r w:rsidRPr="00C06699">
        <w:rPr>
          <w:color w:val="2E2E2E"/>
          <w:lang w:val="uk-UA"/>
        </w:rPr>
        <w:t>зони.</w:t>
      </w:r>
    </w:p>
    <w:p w:rsidR="00A44B04" w:rsidRPr="00C06699" w:rsidRDefault="00C06699">
      <w:pPr>
        <w:pStyle w:val="a3"/>
        <w:spacing w:line="292" w:lineRule="auto"/>
        <w:ind w:left="103" w:right="202"/>
        <w:rPr>
          <w:lang w:val="uk-UA"/>
        </w:rPr>
      </w:pPr>
      <w:r w:rsidRPr="00C06699">
        <w:rPr>
          <w:color w:val="2E2E2E"/>
          <w:lang w:val="uk-UA"/>
        </w:rPr>
        <w:t>При виявленні підозрілого предмета, негайно повідомте про це Службу порятунку за номером 101 та прав</w:t>
      </w:r>
      <w:r w:rsidRPr="00C06699">
        <w:rPr>
          <w:color w:val="2E2E2E"/>
          <w:lang w:val="uk-UA"/>
        </w:rPr>
        <w:t>оохоронні органи за номером 102.</w:t>
      </w:r>
    </w:p>
    <w:sectPr w:rsidR="00A44B04" w:rsidRPr="00C06699" w:rsidSect="00A44B04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52C4"/>
    <w:multiLevelType w:val="hybridMultilevel"/>
    <w:tmpl w:val="C64E55D4"/>
    <w:lvl w:ilvl="0" w:tplc="088C56A2">
      <w:numFmt w:val="bullet"/>
      <w:lvlText w:val="-"/>
      <w:lvlJc w:val="left"/>
      <w:pPr>
        <w:ind w:left="101" w:hanging="128"/>
      </w:pPr>
      <w:rPr>
        <w:rFonts w:ascii="Arial" w:eastAsia="Arial" w:hAnsi="Arial" w:cs="Arial" w:hint="default"/>
        <w:color w:val="2E2E2E"/>
        <w:w w:val="100"/>
        <w:sz w:val="21"/>
        <w:szCs w:val="21"/>
        <w:lang w:val="ru-RU" w:eastAsia="ru-RU" w:bidi="ru-RU"/>
      </w:rPr>
    </w:lvl>
    <w:lvl w:ilvl="1" w:tplc="F3BAB902">
      <w:numFmt w:val="bullet"/>
      <w:lvlText w:val="•"/>
      <w:lvlJc w:val="left"/>
      <w:pPr>
        <w:ind w:left="1046" w:hanging="128"/>
      </w:pPr>
      <w:rPr>
        <w:rFonts w:hint="default"/>
        <w:lang w:val="ru-RU" w:eastAsia="ru-RU" w:bidi="ru-RU"/>
      </w:rPr>
    </w:lvl>
    <w:lvl w:ilvl="2" w:tplc="EFA65830">
      <w:numFmt w:val="bullet"/>
      <w:lvlText w:val="•"/>
      <w:lvlJc w:val="left"/>
      <w:pPr>
        <w:ind w:left="1993" w:hanging="128"/>
      </w:pPr>
      <w:rPr>
        <w:rFonts w:hint="default"/>
        <w:lang w:val="ru-RU" w:eastAsia="ru-RU" w:bidi="ru-RU"/>
      </w:rPr>
    </w:lvl>
    <w:lvl w:ilvl="3" w:tplc="7D025BFA">
      <w:numFmt w:val="bullet"/>
      <w:lvlText w:val="•"/>
      <w:lvlJc w:val="left"/>
      <w:pPr>
        <w:ind w:left="2939" w:hanging="128"/>
      </w:pPr>
      <w:rPr>
        <w:rFonts w:hint="default"/>
        <w:lang w:val="ru-RU" w:eastAsia="ru-RU" w:bidi="ru-RU"/>
      </w:rPr>
    </w:lvl>
    <w:lvl w:ilvl="4" w:tplc="ECAE76B6">
      <w:numFmt w:val="bullet"/>
      <w:lvlText w:val="•"/>
      <w:lvlJc w:val="left"/>
      <w:pPr>
        <w:ind w:left="3886" w:hanging="128"/>
      </w:pPr>
      <w:rPr>
        <w:rFonts w:hint="default"/>
        <w:lang w:val="ru-RU" w:eastAsia="ru-RU" w:bidi="ru-RU"/>
      </w:rPr>
    </w:lvl>
    <w:lvl w:ilvl="5" w:tplc="9D5AEE16">
      <w:numFmt w:val="bullet"/>
      <w:lvlText w:val="•"/>
      <w:lvlJc w:val="left"/>
      <w:pPr>
        <w:ind w:left="4833" w:hanging="128"/>
      </w:pPr>
      <w:rPr>
        <w:rFonts w:hint="default"/>
        <w:lang w:val="ru-RU" w:eastAsia="ru-RU" w:bidi="ru-RU"/>
      </w:rPr>
    </w:lvl>
    <w:lvl w:ilvl="6" w:tplc="6B74BD1E">
      <w:numFmt w:val="bullet"/>
      <w:lvlText w:val="•"/>
      <w:lvlJc w:val="left"/>
      <w:pPr>
        <w:ind w:left="5779" w:hanging="128"/>
      </w:pPr>
      <w:rPr>
        <w:rFonts w:hint="default"/>
        <w:lang w:val="ru-RU" w:eastAsia="ru-RU" w:bidi="ru-RU"/>
      </w:rPr>
    </w:lvl>
    <w:lvl w:ilvl="7" w:tplc="BD76D406">
      <w:numFmt w:val="bullet"/>
      <w:lvlText w:val="•"/>
      <w:lvlJc w:val="left"/>
      <w:pPr>
        <w:ind w:left="6726" w:hanging="128"/>
      </w:pPr>
      <w:rPr>
        <w:rFonts w:hint="default"/>
        <w:lang w:val="ru-RU" w:eastAsia="ru-RU" w:bidi="ru-RU"/>
      </w:rPr>
    </w:lvl>
    <w:lvl w:ilvl="8" w:tplc="91702406">
      <w:numFmt w:val="bullet"/>
      <w:lvlText w:val="•"/>
      <w:lvlJc w:val="left"/>
      <w:pPr>
        <w:ind w:left="7673" w:hanging="1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44B04"/>
    <w:rsid w:val="00A44B04"/>
    <w:rsid w:val="00C0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B04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B04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A44B04"/>
    <w:pPr>
      <w:spacing w:before="1"/>
      <w:ind w:left="101"/>
      <w:outlineLvl w:val="1"/>
    </w:pPr>
    <w:rPr>
      <w:i/>
      <w:sz w:val="45"/>
      <w:szCs w:val="45"/>
    </w:rPr>
  </w:style>
  <w:style w:type="paragraph" w:customStyle="1" w:styleId="Heading2">
    <w:name w:val="Heading 2"/>
    <w:basedOn w:val="a"/>
    <w:uiPriority w:val="1"/>
    <w:qFormat/>
    <w:rsid w:val="00A44B04"/>
    <w:pPr>
      <w:ind w:left="102"/>
      <w:outlineLvl w:val="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A44B0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A44B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2019-11-01T12:37:00Z</dcterms:created>
  <dcterms:modified xsi:type="dcterms:W3CDTF">2019-11-01T12:57:00Z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